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864221" w:rsidRDefault="0082287B">
      <w:pPr>
        <w:jc w:val="center"/>
        <w:rPr>
          <w:b/>
        </w:rPr>
      </w:pPr>
      <w:r>
        <w:rPr>
          <w:b/>
        </w:rPr>
        <w:t>MICROSOFT</w:t>
      </w:r>
    </w:p>
    <w:p w14:paraId="00000002" w14:textId="77777777" w:rsidR="00864221" w:rsidRDefault="0082287B">
      <w:pPr>
        <w:jc w:val="center"/>
        <w:rPr>
          <w:b/>
        </w:rPr>
      </w:pPr>
      <w:r>
        <w:rPr>
          <w:b/>
        </w:rPr>
        <w:t>ESPECIFICACIONES TÉCNICAS</w:t>
      </w:r>
    </w:p>
    <w:p w14:paraId="00000003" w14:textId="77777777" w:rsidR="00864221" w:rsidRDefault="0082287B">
      <w:r>
        <w:t xml:space="preserve"> </w:t>
      </w:r>
    </w:p>
    <w:p w14:paraId="00000004" w14:textId="77777777" w:rsidR="00864221" w:rsidRDefault="0082287B">
      <w:r>
        <w:br w:type="page"/>
      </w:r>
    </w:p>
    <w:p w14:paraId="00000005" w14:textId="77777777" w:rsidR="00864221" w:rsidRDefault="0082287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 w:after="120"/>
        <w:ind w:left="432" w:hanging="432"/>
        <w:rPr>
          <w:rFonts w:ascii="Calibri" w:eastAsia="Calibri" w:hAnsi="Calibri" w:cs="Calibri"/>
          <w:color w:val="000000"/>
          <w:sz w:val="32"/>
          <w:szCs w:val="32"/>
        </w:rPr>
      </w:pPr>
      <w:r>
        <w:rPr>
          <w:rFonts w:ascii="Calibri" w:eastAsia="Calibri" w:hAnsi="Calibri" w:cs="Calibri"/>
          <w:color w:val="000000"/>
          <w:sz w:val="32"/>
          <w:szCs w:val="32"/>
        </w:rPr>
        <w:lastRenderedPageBreak/>
        <w:t>ÍNDICE</w:t>
      </w:r>
    </w:p>
    <w:bookmarkStart w:id="0" w:name="_heading=h.gjdgxs" w:colFirst="0" w:colLast="0" w:displacedByCustomXml="next"/>
    <w:bookmarkEnd w:id="0" w:displacedByCustomXml="next"/>
    <w:sdt>
      <w:sdtPr>
        <w:id w:val="1071473636"/>
        <w:docPartObj>
          <w:docPartGallery w:val="Table of Contents"/>
          <w:docPartUnique/>
        </w:docPartObj>
      </w:sdtPr>
      <w:sdtEndPr/>
      <w:sdtContent>
        <w:p w14:paraId="577DDECC" w14:textId="25C6ABF8" w:rsidR="00D37EFC" w:rsidRDefault="0082287B">
          <w:pPr>
            <w:pStyle w:val="TDC1"/>
            <w:tabs>
              <w:tab w:val="left" w:pos="440"/>
              <w:tab w:val="right" w:pos="88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Toc21014447" w:history="1">
            <w:r w:rsidR="00D37EFC" w:rsidRPr="00773441">
              <w:rPr>
                <w:rStyle w:val="Hipervnculo"/>
                <w:noProof/>
              </w:rPr>
              <w:t>1</w:t>
            </w:r>
            <w:r w:rsidR="00D37EFC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="00D37EFC" w:rsidRPr="00773441">
              <w:rPr>
                <w:rStyle w:val="Hipervnculo"/>
                <w:noProof/>
              </w:rPr>
              <w:t>ALCANCE</w:t>
            </w:r>
            <w:r w:rsidR="00D37EFC">
              <w:rPr>
                <w:noProof/>
                <w:webHidden/>
              </w:rPr>
              <w:tab/>
            </w:r>
            <w:r w:rsidR="00D37EFC">
              <w:rPr>
                <w:noProof/>
                <w:webHidden/>
              </w:rPr>
              <w:fldChar w:fldCharType="begin"/>
            </w:r>
            <w:r w:rsidR="00D37EFC">
              <w:rPr>
                <w:noProof/>
                <w:webHidden/>
              </w:rPr>
              <w:instrText xml:space="preserve"> PAGEREF _Toc21014447 \h </w:instrText>
            </w:r>
            <w:r w:rsidR="00D37EFC">
              <w:rPr>
                <w:noProof/>
                <w:webHidden/>
              </w:rPr>
            </w:r>
            <w:r w:rsidR="00D37EFC">
              <w:rPr>
                <w:noProof/>
                <w:webHidden/>
              </w:rPr>
              <w:fldChar w:fldCharType="separate"/>
            </w:r>
            <w:r w:rsidR="00D37EFC">
              <w:rPr>
                <w:noProof/>
                <w:webHidden/>
              </w:rPr>
              <w:t>3</w:t>
            </w:r>
            <w:r w:rsidR="00D37EFC">
              <w:rPr>
                <w:noProof/>
                <w:webHidden/>
              </w:rPr>
              <w:fldChar w:fldCharType="end"/>
            </w:r>
          </w:hyperlink>
        </w:p>
        <w:p w14:paraId="12D90C8F" w14:textId="29B36D80" w:rsidR="00D37EFC" w:rsidRDefault="00D37EFC">
          <w:pPr>
            <w:pStyle w:val="TDC2"/>
            <w:tabs>
              <w:tab w:val="left" w:pos="880"/>
              <w:tab w:val="right" w:pos="88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21014448" w:history="1">
            <w:r w:rsidRPr="00773441">
              <w:rPr>
                <w:rStyle w:val="Hipervnculo"/>
                <w:noProof/>
              </w:rPr>
              <w:t>1.1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Pr="00773441">
              <w:rPr>
                <w:rStyle w:val="Hipervnculo"/>
                <w:noProof/>
              </w:rPr>
              <w:t>PARTIDA 1: Servicio de actualización y soporte.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_Toc21014448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C37243" w14:textId="666B7DA1" w:rsidR="00D37EFC" w:rsidRDefault="00D37EFC">
          <w:pPr>
            <w:pStyle w:val="TDC2"/>
            <w:tabs>
              <w:tab w:val="left" w:pos="880"/>
              <w:tab w:val="right" w:pos="88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21014449" w:history="1">
            <w:r w:rsidRPr="00773441">
              <w:rPr>
                <w:rStyle w:val="Hipervnculo"/>
                <w:noProof/>
              </w:rPr>
              <w:t>1.2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Pr="00773441">
              <w:rPr>
                <w:rStyle w:val="Hipervnculo"/>
                <w:noProof/>
              </w:rPr>
              <w:t>PARTIDA 2: Suscripción para derecho de uso.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_Toc21014449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03438B" w14:textId="4E7E8BC3" w:rsidR="00D37EFC" w:rsidRDefault="00D37EFC">
          <w:pPr>
            <w:pStyle w:val="TDC2"/>
            <w:tabs>
              <w:tab w:val="left" w:pos="880"/>
              <w:tab w:val="right" w:pos="88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21014450" w:history="1">
            <w:r w:rsidRPr="00773441">
              <w:rPr>
                <w:rStyle w:val="Hipervnculo"/>
                <w:noProof/>
              </w:rPr>
              <w:t>1.3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Pr="00773441">
              <w:rPr>
                <w:rStyle w:val="Hipervnculo"/>
                <w:noProof/>
              </w:rPr>
              <w:t>PARTIDA 3: Adquisición de nuevas licencias.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_Toc21014450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42DEC0" w14:textId="12E9F380" w:rsidR="00D37EFC" w:rsidRDefault="00D37EFC">
          <w:pPr>
            <w:pStyle w:val="TDC1"/>
            <w:tabs>
              <w:tab w:val="left" w:pos="440"/>
              <w:tab w:val="right" w:pos="88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21014451" w:history="1">
            <w:r w:rsidRPr="00773441">
              <w:rPr>
                <w:rStyle w:val="Hipervnculo"/>
                <w:noProof/>
              </w:rPr>
              <w:t>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Pr="00773441">
              <w:rPr>
                <w:rStyle w:val="Hipervnculo"/>
                <w:noProof/>
              </w:rPr>
              <w:t>INSTALACIÓN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_Toc21014451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682883" w14:textId="41022434" w:rsidR="00D37EFC" w:rsidRDefault="00D37EFC">
          <w:pPr>
            <w:pStyle w:val="TDC1"/>
            <w:tabs>
              <w:tab w:val="left" w:pos="440"/>
              <w:tab w:val="right" w:pos="88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21014452" w:history="1">
            <w:r w:rsidRPr="00773441">
              <w:rPr>
                <w:rStyle w:val="Hipervnculo"/>
                <w:noProof/>
              </w:rPr>
              <w:t>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Pr="00773441">
              <w:rPr>
                <w:rStyle w:val="Hipervnculo"/>
                <w:noProof/>
              </w:rPr>
              <w:t>UNIDAD DE MEDIDA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_Toc21014452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E735B5" w14:textId="7827D18E" w:rsidR="00D37EFC" w:rsidRDefault="00D37EFC">
          <w:pPr>
            <w:pStyle w:val="TDC2"/>
            <w:tabs>
              <w:tab w:val="left" w:pos="880"/>
              <w:tab w:val="right" w:pos="88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21014453" w:history="1">
            <w:r w:rsidRPr="00773441">
              <w:rPr>
                <w:rStyle w:val="Hipervnculo"/>
                <w:noProof/>
              </w:rPr>
              <w:t>3.1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Pr="00773441">
              <w:rPr>
                <w:rStyle w:val="Hipervnculo"/>
                <w:noProof/>
              </w:rPr>
              <w:t>Licencia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_Toc21014453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042E01" w14:textId="49C55BC9" w:rsidR="00D37EFC" w:rsidRDefault="00D37EFC">
          <w:pPr>
            <w:pStyle w:val="TDC2"/>
            <w:tabs>
              <w:tab w:val="left" w:pos="880"/>
              <w:tab w:val="right" w:pos="88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21014454" w:history="1">
            <w:r w:rsidRPr="00773441">
              <w:rPr>
                <w:rStyle w:val="Hipervnculo"/>
                <w:noProof/>
              </w:rPr>
              <w:t>3.2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Pr="00773441">
              <w:rPr>
                <w:rStyle w:val="Hipervnculo"/>
                <w:noProof/>
              </w:rPr>
              <w:t>Servicio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_Toc21014454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65C09E" w14:textId="295BC6E9" w:rsidR="00D37EFC" w:rsidRDefault="00D37EFC">
          <w:pPr>
            <w:pStyle w:val="TDC2"/>
            <w:tabs>
              <w:tab w:val="left" w:pos="880"/>
              <w:tab w:val="right" w:pos="88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21014455" w:history="1">
            <w:r w:rsidRPr="00773441">
              <w:rPr>
                <w:rStyle w:val="Hipervnculo"/>
                <w:noProof/>
              </w:rPr>
              <w:t>3.3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Pr="00773441">
              <w:rPr>
                <w:rStyle w:val="Hipervnculo"/>
                <w:noProof/>
              </w:rPr>
              <w:t>Unidad de servicio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_Toc21014455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9B4897" w14:textId="03B85FAB" w:rsidR="00D37EFC" w:rsidRDefault="00D37EFC">
          <w:pPr>
            <w:pStyle w:val="TDC2"/>
            <w:tabs>
              <w:tab w:val="left" w:pos="880"/>
              <w:tab w:val="right" w:pos="88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21014456" w:history="1">
            <w:r w:rsidRPr="00773441">
              <w:rPr>
                <w:rStyle w:val="Hipervnculo"/>
                <w:noProof/>
              </w:rPr>
              <w:t>3.4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Pr="00773441">
              <w:rPr>
                <w:rStyle w:val="Hipervnculo"/>
                <w:noProof/>
              </w:rPr>
              <w:t>Suscripción de servicio/Usuario/mes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_Toc21014456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3C7E82" w14:textId="1210D3DD" w:rsidR="00D37EFC" w:rsidRDefault="00D37EFC">
          <w:pPr>
            <w:pStyle w:val="TDC2"/>
            <w:tabs>
              <w:tab w:val="left" w:pos="880"/>
              <w:tab w:val="right" w:pos="88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21014457" w:history="1">
            <w:r w:rsidRPr="00773441">
              <w:rPr>
                <w:rStyle w:val="Hipervnculo"/>
                <w:noProof/>
              </w:rPr>
              <w:t>3.5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Pr="00773441">
              <w:rPr>
                <w:rStyle w:val="Hipervnculo"/>
                <w:noProof/>
              </w:rPr>
              <w:t>Unidad de Compromiso Monetario/Mes (Monetary Commitment)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_Toc21014457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CDF6CE" w14:textId="655293FA" w:rsidR="00D37EFC" w:rsidRDefault="00D37EFC">
          <w:pPr>
            <w:pStyle w:val="TDC1"/>
            <w:tabs>
              <w:tab w:val="left" w:pos="440"/>
              <w:tab w:val="right" w:pos="88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21014458" w:history="1">
            <w:r w:rsidRPr="00773441">
              <w:rPr>
                <w:rStyle w:val="Hipervnculo"/>
                <w:noProof/>
              </w:rPr>
              <w:t>4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Pr="00773441">
              <w:rPr>
                <w:rStyle w:val="Hipervnculo"/>
                <w:noProof/>
              </w:rPr>
              <w:t>VIGENCIA DEL SERVICIO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_Toc21014458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81EB72" w14:textId="6EEC372F" w:rsidR="00D37EFC" w:rsidRDefault="00D37EFC">
          <w:pPr>
            <w:pStyle w:val="TDC1"/>
            <w:tabs>
              <w:tab w:val="left" w:pos="440"/>
              <w:tab w:val="right" w:pos="88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21014459" w:history="1">
            <w:r w:rsidRPr="00773441">
              <w:rPr>
                <w:rStyle w:val="Hipervnculo"/>
                <w:noProof/>
              </w:rPr>
              <w:t>5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Pr="00773441">
              <w:rPr>
                <w:rStyle w:val="Hipervnculo"/>
                <w:noProof/>
              </w:rPr>
              <w:t>ENTREGABLES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_Toc21014459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322724" w14:textId="03E72061" w:rsidR="00D37EFC" w:rsidRDefault="00D37EFC">
          <w:pPr>
            <w:pStyle w:val="TDC1"/>
            <w:tabs>
              <w:tab w:val="left" w:pos="440"/>
              <w:tab w:val="right" w:pos="88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21014460" w:history="1">
            <w:r w:rsidRPr="00773441">
              <w:rPr>
                <w:rStyle w:val="Hipervnculo"/>
                <w:noProof/>
              </w:rPr>
              <w:t>6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Pr="00773441">
              <w:rPr>
                <w:rStyle w:val="Hipervnculo"/>
                <w:noProof/>
              </w:rPr>
              <w:t>PRODUCTOS O SERVICIOS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_Toc21014460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1468CB" w14:textId="6F498B48" w:rsidR="00D37EFC" w:rsidRDefault="00D37EFC">
          <w:pPr>
            <w:pStyle w:val="TDC2"/>
            <w:tabs>
              <w:tab w:val="left" w:pos="880"/>
              <w:tab w:val="right" w:pos="88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en-US"/>
            </w:rPr>
          </w:pPr>
          <w:hyperlink w:anchor="_Toc21014461" w:history="1">
            <w:r w:rsidRPr="00773441">
              <w:rPr>
                <w:rStyle w:val="Hipervnculo"/>
                <w:noProof/>
              </w:rPr>
              <w:t>6.1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en-US"/>
              </w:rPr>
              <w:tab/>
            </w:r>
            <w:r w:rsidRPr="00773441">
              <w:rPr>
                <w:rStyle w:val="Hipervnculo"/>
                <w:noProof/>
              </w:rPr>
              <w:t>FAMILIAS DE PRODUCTOS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_Toc21014461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000015" w14:textId="48D61203" w:rsidR="00864221" w:rsidRDefault="0082287B">
          <w:r>
            <w:fldChar w:fldCharType="end"/>
          </w:r>
        </w:p>
      </w:sdtContent>
    </w:sdt>
    <w:p w14:paraId="00000016" w14:textId="77777777" w:rsidR="00864221" w:rsidRDefault="0082287B">
      <w:r>
        <w:br w:type="page"/>
      </w:r>
      <w:bookmarkStart w:id="1" w:name="_GoBack"/>
      <w:bookmarkEnd w:id="1"/>
    </w:p>
    <w:p w14:paraId="00000017" w14:textId="77777777" w:rsidR="00864221" w:rsidRDefault="0082287B">
      <w:pPr>
        <w:pStyle w:val="Ttulo1"/>
        <w:numPr>
          <w:ilvl w:val="0"/>
          <w:numId w:val="1"/>
        </w:numPr>
      </w:pPr>
      <w:bookmarkStart w:id="2" w:name="_Toc21014447"/>
      <w:r>
        <w:lastRenderedPageBreak/>
        <w:t>ALCANCE</w:t>
      </w:r>
      <w:bookmarkEnd w:id="2"/>
    </w:p>
    <w:p w14:paraId="00000018" w14:textId="05BE8BBC" w:rsidR="00864221" w:rsidRDefault="0082287B">
      <w:r>
        <w:t xml:space="preserve">Comprende tres partidas; y la descripción de sus servicios, </w:t>
      </w:r>
      <w:r w:rsidR="00687730">
        <w:t>son</w:t>
      </w:r>
      <w:r>
        <w:t>:</w:t>
      </w:r>
    </w:p>
    <w:p w14:paraId="0000001A" w14:textId="77777777" w:rsidR="00864221" w:rsidRDefault="0082287B">
      <w:pPr>
        <w:pStyle w:val="Ttulo2"/>
        <w:numPr>
          <w:ilvl w:val="1"/>
          <w:numId w:val="1"/>
        </w:numPr>
      </w:pPr>
      <w:bookmarkStart w:id="3" w:name="_Toc21014448"/>
      <w:r>
        <w:t>PARTIDA 1: Servicio de actualización y soporte.</w:t>
      </w:r>
      <w:bookmarkEnd w:id="3"/>
    </w:p>
    <w:p w14:paraId="0000001B" w14:textId="77777777" w:rsidR="00864221" w:rsidRDefault="0082287B">
      <w:r>
        <w:t>El servicio de actualización y soporte se contratará para los productos previamente adquiridos por LA ENTIDAD, indicados en el Anexo 1, por un período de hasta tres años, e incluye:</w:t>
      </w:r>
    </w:p>
    <w:p w14:paraId="0000001C" w14:textId="77777777" w:rsidR="00864221" w:rsidRDefault="0082287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Soporte técnico a incidentes, sin cargo adicional, para los productos Microsoft.</w:t>
      </w:r>
    </w:p>
    <w:p w14:paraId="0000001D" w14:textId="77777777" w:rsidR="00864221" w:rsidRDefault="0082287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Acceso a actualizaciones de seguridad.</w:t>
      </w:r>
    </w:p>
    <w:p w14:paraId="0000001E" w14:textId="77777777" w:rsidR="00864221" w:rsidRDefault="0082287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Acceso a actualizaciones de mejora.</w:t>
      </w:r>
    </w:p>
    <w:p w14:paraId="0000001F" w14:textId="77777777" w:rsidR="00864221" w:rsidRDefault="0082287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 xml:space="preserve">Acceso a soporte en línea a bases de datos y de conocimiento, FAQs, herramientas de diagnóstico, entre otros. </w:t>
      </w:r>
    </w:p>
    <w:p w14:paraId="00000020" w14:textId="77777777" w:rsidR="00864221" w:rsidRPr="00687730" w:rsidRDefault="0082287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 w:rsidRPr="00687730">
        <w:rPr>
          <w:color w:val="000000"/>
        </w:rPr>
        <w:t>Software assurance.</w:t>
      </w:r>
    </w:p>
    <w:p w14:paraId="00000021" w14:textId="77777777" w:rsidR="00864221" w:rsidRPr="00687730" w:rsidRDefault="0082287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 w:rsidRPr="00687730">
        <w:rPr>
          <w:color w:val="000000"/>
        </w:rPr>
        <w:t>Soporte premier.</w:t>
      </w:r>
    </w:p>
    <w:p w14:paraId="00000022" w14:textId="77777777" w:rsidR="00864221" w:rsidRDefault="0082287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Soporte proactivo.</w:t>
      </w:r>
    </w:p>
    <w:p w14:paraId="00000023" w14:textId="77777777" w:rsidR="00864221" w:rsidRDefault="00864221"/>
    <w:p w14:paraId="00000024" w14:textId="77777777" w:rsidR="00864221" w:rsidRDefault="0082287B">
      <w:pPr>
        <w:pStyle w:val="Ttulo2"/>
        <w:numPr>
          <w:ilvl w:val="1"/>
          <w:numId w:val="1"/>
        </w:numPr>
      </w:pPr>
      <w:bookmarkStart w:id="4" w:name="_Toc21014449"/>
      <w:r>
        <w:t>PARTIDA 2: Suscripción para derecho de uso.</w:t>
      </w:r>
      <w:bookmarkEnd w:id="4"/>
    </w:p>
    <w:p w14:paraId="00000025" w14:textId="77777777" w:rsidR="00864221" w:rsidRDefault="0082287B">
      <w:r>
        <w:t>La Suscripción para derecho de uso se contratará para los productos indicados en el Anexo 1 en un esquema bajo demanda.</w:t>
      </w:r>
    </w:p>
    <w:p w14:paraId="00000026" w14:textId="77777777" w:rsidR="00864221" w:rsidRDefault="00864221"/>
    <w:p w14:paraId="00000027" w14:textId="77777777" w:rsidR="00864221" w:rsidRDefault="0082287B">
      <w:pPr>
        <w:pStyle w:val="Ttulo2"/>
        <w:numPr>
          <w:ilvl w:val="1"/>
          <w:numId w:val="1"/>
        </w:numPr>
      </w:pPr>
      <w:bookmarkStart w:id="5" w:name="_Toc21014450"/>
      <w:r>
        <w:t>PARTIDA 3: Adquisición de nuevas licencias.</w:t>
      </w:r>
      <w:bookmarkEnd w:id="5"/>
    </w:p>
    <w:p w14:paraId="00000028" w14:textId="77777777" w:rsidR="00864221" w:rsidRDefault="0082287B">
      <w:r>
        <w:t>Corresponde a los productos adicionales que LA ENTIDAD adquiera con base en las necesidades de su operación; incluyen un año de soporte al licenciamiento.</w:t>
      </w:r>
    </w:p>
    <w:p w14:paraId="00000029" w14:textId="77777777" w:rsidR="00864221" w:rsidRPr="008A4E2C" w:rsidRDefault="0082287B">
      <w:pPr>
        <w:pStyle w:val="Ttulo1"/>
        <w:numPr>
          <w:ilvl w:val="0"/>
          <w:numId w:val="1"/>
        </w:numPr>
      </w:pPr>
      <w:bookmarkStart w:id="6" w:name="_Toc21014451"/>
      <w:r w:rsidRPr="008A4E2C">
        <w:t>INSTALACIÓN</w:t>
      </w:r>
      <w:bookmarkEnd w:id="6"/>
      <w:r w:rsidRPr="008A4E2C">
        <w:t xml:space="preserve"> </w:t>
      </w:r>
    </w:p>
    <w:p w14:paraId="0000002A" w14:textId="77777777" w:rsidR="00864221" w:rsidRDefault="0082287B">
      <w:r w:rsidRPr="008A4E2C">
        <w:t>El proveedor del software de Microsoft Office (únicamente el correspondiente a ofimática) lo deberá preinstalar en el equipo de cómputo personal que las Entidades y Dependencias le indiquen.</w:t>
      </w:r>
    </w:p>
    <w:p w14:paraId="0000002B" w14:textId="77777777" w:rsidR="00864221" w:rsidRDefault="0082287B">
      <w:pPr>
        <w:pStyle w:val="Ttulo1"/>
        <w:numPr>
          <w:ilvl w:val="0"/>
          <w:numId w:val="1"/>
        </w:numPr>
      </w:pPr>
      <w:bookmarkStart w:id="7" w:name="_Toc21014452"/>
      <w:r>
        <w:t>UNIDAD DE MEDIDA</w:t>
      </w:r>
      <w:bookmarkEnd w:id="7"/>
    </w:p>
    <w:p w14:paraId="0000002C" w14:textId="77777777" w:rsidR="00864221" w:rsidRDefault="0082287B">
      <w:pPr>
        <w:pStyle w:val="Ttulo2"/>
        <w:numPr>
          <w:ilvl w:val="1"/>
          <w:numId w:val="1"/>
        </w:numPr>
      </w:pPr>
      <w:bookmarkStart w:id="8" w:name="_Toc21014453"/>
      <w:r>
        <w:t>Licencia</w:t>
      </w:r>
      <w:bookmarkEnd w:id="8"/>
    </w:p>
    <w:p w14:paraId="0000002D" w14:textId="77777777" w:rsidR="00864221" w:rsidRDefault="0082287B">
      <w:r>
        <w:t>Código único que el proveedor asigna al producto que vende a la dependencia/entidad</w:t>
      </w:r>
    </w:p>
    <w:p w14:paraId="0000002E" w14:textId="77777777" w:rsidR="00864221" w:rsidRDefault="0082287B">
      <w:pPr>
        <w:pStyle w:val="Ttulo2"/>
        <w:numPr>
          <w:ilvl w:val="1"/>
          <w:numId w:val="1"/>
        </w:numPr>
      </w:pPr>
      <w:bookmarkStart w:id="9" w:name="_Toc21014454"/>
      <w:r>
        <w:t>Servicio</w:t>
      </w:r>
      <w:bookmarkEnd w:id="9"/>
    </w:p>
    <w:p w14:paraId="0000002F" w14:textId="77777777" w:rsidR="00864221" w:rsidRDefault="0082287B">
      <w:r>
        <w:t xml:space="preserve">Se refiere a que el producto que se está adquiriendo es por cantidad determinada de un servicio. </w:t>
      </w:r>
    </w:p>
    <w:p w14:paraId="00000030" w14:textId="77777777" w:rsidR="00864221" w:rsidRDefault="0082287B">
      <w:pPr>
        <w:pStyle w:val="Ttulo2"/>
        <w:numPr>
          <w:ilvl w:val="1"/>
          <w:numId w:val="1"/>
        </w:numPr>
      </w:pPr>
      <w:bookmarkStart w:id="10" w:name="_Toc21014455"/>
      <w:r>
        <w:lastRenderedPageBreak/>
        <w:t>Unidad de servicio</w:t>
      </w:r>
      <w:bookmarkEnd w:id="10"/>
    </w:p>
    <w:p w14:paraId="00000031" w14:textId="4E96B570" w:rsidR="00864221" w:rsidRDefault="0082287B">
      <w:r>
        <w:t xml:space="preserve">Se refiere </w:t>
      </w:r>
      <w:commentRangeStart w:id="11"/>
      <w:r w:rsidR="008A4E2C" w:rsidRPr="008A4E2C">
        <w:rPr>
          <w:highlight w:val="green"/>
        </w:rPr>
        <w:t>a las unidades de Servicios Proactivos</w:t>
      </w:r>
      <w:r>
        <w:t xml:space="preserve"> </w:t>
      </w:r>
      <w:commentRangeEnd w:id="11"/>
      <w:r w:rsidR="008A4E2C">
        <w:rPr>
          <w:rStyle w:val="Refdecomentario"/>
        </w:rPr>
        <w:commentReference w:id="11"/>
      </w:r>
      <w:r>
        <w:t>que se está adquiriendo es un servicio que se contrata por unidades.</w:t>
      </w:r>
    </w:p>
    <w:p w14:paraId="4079B8CF" w14:textId="41370FAB" w:rsidR="008A4E2C" w:rsidRDefault="008A4E2C">
      <w:r w:rsidRPr="008A4E2C">
        <w:t>Pedimos aclarar si el término “Unidad de Servicio” se refiere a las unidades de Servicios Proactivos</w:t>
      </w:r>
    </w:p>
    <w:p w14:paraId="00000032" w14:textId="77777777" w:rsidR="00864221" w:rsidRDefault="0082287B">
      <w:pPr>
        <w:pStyle w:val="Ttulo2"/>
        <w:numPr>
          <w:ilvl w:val="1"/>
          <w:numId w:val="1"/>
        </w:numPr>
      </w:pPr>
      <w:bookmarkStart w:id="12" w:name="_Toc21014456"/>
      <w:r>
        <w:t>Suscripción de servicio/Usuario/mes</w:t>
      </w:r>
      <w:bookmarkEnd w:id="12"/>
    </w:p>
    <w:p w14:paraId="00000033" w14:textId="77777777" w:rsidR="00864221" w:rsidRDefault="0082287B">
      <w:r>
        <w:t xml:space="preserve">Indica que el producto adquirido se entrega en forma de servicios mensual o </w:t>
      </w:r>
      <w:commentRangeStart w:id="13"/>
      <w:r>
        <w:rPr>
          <w:highlight w:val="green"/>
        </w:rPr>
        <w:t>anual</w:t>
      </w:r>
      <w:commentRangeEnd w:id="13"/>
      <w:r w:rsidR="008A4E2C">
        <w:rPr>
          <w:rStyle w:val="Refdecomentario"/>
        </w:rPr>
        <w:commentReference w:id="13"/>
      </w:r>
      <w:r>
        <w:rPr>
          <w:highlight w:val="green"/>
        </w:rPr>
        <w:t xml:space="preserve"> </w:t>
      </w:r>
      <w:r>
        <w:t>por usuario (puede incluir productos licenciados), lo que permite una proyección de consumo bajo demanda</w:t>
      </w:r>
    </w:p>
    <w:p w14:paraId="00000034" w14:textId="77777777" w:rsidR="00864221" w:rsidRDefault="0082287B">
      <w:pPr>
        <w:pStyle w:val="Ttulo2"/>
        <w:numPr>
          <w:ilvl w:val="1"/>
          <w:numId w:val="1"/>
        </w:numPr>
      </w:pPr>
      <w:bookmarkStart w:id="14" w:name="_Toc21014457"/>
      <w:r>
        <w:t>Unidad de Compromiso Monetario/Mes (Monetary Commitment)</w:t>
      </w:r>
      <w:bookmarkEnd w:id="14"/>
    </w:p>
    <w:p w14:paraId="00000035" w14:textId="77777777" w:rsidR="00864221" w:rsidRDefault="0082287B">
      <w:r>
        <w:t>Unidad de consumo monetario utilizadas en diversidad de productos o servicios de nube disponibles en AZURE.</w:t>
      </w:r>
    </w:p>
    <w:p w14:paraId="00000036" w14:textId="77777777" w:rsidR="00864221" w:rsidRDefault="00864221"/>
    <w:p w14:paraId="00000037" w14:textId="77777777" w:rsidR="00864221" w:rsidRDefault="0082287B">
      <w:pPr>
        <w:pStyle w:val="Ttulo1"/>
        <w:numPr>
          <w:ilvl w:val="0"/>
          <w:numId w:val="1"/>
        </w:numPr>
      </w:pPr>
      <w:bookmarkStart w:id="15" w:name="_Toc21014458"/>
      <w:r>
        <w:t>VIGENCIA DEL SERVICIO</w:t>
      </w:r>
      <w:bookmarkEnd w:id="15"/>
    </w:p>
    <w:p w14:paraId="00000038" w14:textId="77777777" w:rsidR="00864221" w:rsidRDefault="0082287B">
      <w:r>
        <w:t>Un año a partir de la fecha de contratación.</w:t>
      </w:r>
    </w:p>
    <w:p w14:paraId="00000039" w14:textId="77777777" w:rsidR="00864221" w:rsidRDefault="00864221"/>
    <w:p w14:paraId="0000003A" w14:textId="77777777" w:rsidR="00864221" w:rsidRDefault="0082287B">
      <w:pPr>
        <w:pStyle w:val="Ttulo1"/>
        <w:numPr>
          <w:ilvl w:val="0"/>
          <w:numId w:val="1"/>
        </w:numPr>
      </w:pPr>
      <w:bookmarkStart w:id="16" w:name="_Toc21014459"/>
      <w:r>
        <w:t>ENTREGABLES</w:t>
      </w:r>
      <w:bookmarkEnd w:id="16"/>
    </w:p>
    <w:p w14:paraId="0000003B" w14:textId="77777777" w:rsidR="00864221" w:rsidRDefault="0082287B">
      <w:r>
        <w:t>Documento que ampare los derechos de uso.</w:t>
      </w:r>
    </w:p>
    <w:p w14:paraId="0000003C" w14:textId="77777777" w:rsidR="00864221" w:rsidRDefault="0082287B">
      <w:r>
        <w:t>Carta membretada con credenciales de acceso para el servicio de soporte.</w:t>
      </w:r>
    </w:p>
    <w:p w14:paraId="0000003D" w14:textId="77777777" w:rsidR="00864221" w:rsidRDefault="00864221"/>
    <w:p w14:paraId="0000003E" w14:textId="77777777" w:rsidR="00864221" w:rsidRDefault="0082287B">
      <w:pPr>
        <w:pStyle w:val="Ttulo1"/>
        <w:numPr>
          <w:ilvl w:val="0"/>
          <w:numId w:val="1"/>
        </w:numPr>
      </w:pPr>
      <w:bookmarkStart w:id="17" w:name="_Toc21014460"/>
      <w:r>
        <w:t>PRODUCTOS O SERVICIOS</w:t>
      </w:r>
      <w:bookmarkEnd w:id="17"/>
    </w:p>
    <w:p w14:paraId="0000003F" w14:textId="77777777" w:rsidR="00864221" w:rsidRDefault="00864221"/>
    <w:p w14:paraId="00000040" w14:textId="77777777" w:rsidR="00864221" w:rsidRDefault="0082287B">
      <w:pPr>
        <w:pStyle w:val="Ttulo2"/>
        <w:numPr>
          <w:ilvl w:val="1"/>
          <w:numId w:val="1"/>
        </w:numPr>
      </w:pPr>
      <w:bookmarkStart w:id="18" w:name="_Toc21014461"/>
      <w:r>
        <w:t>FAMILIAS DE PRODUCTOS</w:t>
      </w:r>
      <w:bookmarkEnd w:id="18"/>
    </w:p>
    <w:p w14:paraId="00000041" w14:textId="77777777" w:rsidR="00864221" w:rsidRDefault="0082287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Office</w:t>
      </w:r>
    </w:p>
    <w:p w14:paraId="00000042" w14:textId="77777777" w:rsidR="00864221" w:rsidRDefault="0082287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Windows desktop</w:t>
      </w:r>
    </w:p>
    <w:p w14:paraId="00000043" w14:textId="77777777" w:rsidR="00864221" w:rsidRDefault="0082287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Project</w:t>
      </w:r>
    </w:p>
    <w:p w14:paraId="00000044" w14:textId="77777777" w:rsidR="00864221" w:rsidRDefault="0082287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Visio</w:t>
      </w:r>
    </w:p>
    <w:p w14:paraId="00000045" w14:textId="77777777" w:rsidR="00864221" w:rsidRDefault="0082287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Windows Server</w:t>
      </w:r>
    </w:p>
    <w:p w14:paraId="00000046" w14:textId="77777777" w:rsidR="00864221" w:rsidRDefault="0082287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SQL Server</w:t>
      </w:r>
    </w:p>
    <w:p w14:paraId="00000047" w14:textId="77777777" w:rsidR="00864221" w:rsidRDefault="0082287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Exchange</w:t>
      </w:r>
    </w:p>
    <w:p w14:paraId="00000048" w14:textId="77777777" w:rsidR="00864221" w:rsidRDefault="0082287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 xml:space="preserve">SharePoint </w:t>
      </w:r>
    </w:p>
    <w:p w14:paraId="00000049" w14:textId="77777777" w:rsidR="00864221" w:rsidRDefault="0082287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Visual Studio</w:t>
      </w:r>
    </w:p>
    <w:p w14:paraId="0000004A" w14:textId="77777777" w:rsidR="00864221" w:rsidRDefault="0082287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Administración de equipos</w:t>
      </w:r>
    </w:p>
    <w:p w14:paraId="0000004B" w14:textId="77777777" w:rsidR="00864221" w:rsidRDefault="0082287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Colaboración</w:t>
      </w:r>
    </w:p>
    <w:p w14:paraId="0000004C" w14:textId="77777777" w:rsidR="00864221" w:rsidRDefault="0082287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lastRenderedPageBreak/>
        <w:t>Power BI</w:t>
      </w:r>
    </w:p>
    <w:p w14:paraId="0000004D" w14:textId="77777777" w:rsidR="00864221" w:rsidRDefault="0082287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Soporte</w:t>
      </w:r>
    </w:p>
    <w:p w14:paraId="0000004E" w14:textId="77777777" w:rsidR="00864221" w:rsidRDefault="0082287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Dynamics</w:t>
      </w:r>
    </w:p>
    <w:sectPr w:rsidR="00864221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1" w:author="CEDN" w:date="2019-10-03T12:20:00Z" w:initials="C">
    <w:p w14:paraId="238A1475" w14:textId="40B1A3F5" w:rsidR="008A4E2C" w:rsidRDefault="008A4E2C">
      <w:pPr>
        <w:pStyle w:val="Textocomentario"/>
      </w:pPr>
      <w:r>
        <w:rPr>
          <w:rStyle w:val="Refdecomentario"/>
        </w:rPr>
        <w:annotationRef/>
      </w:r>
      <w:r>
        <w:t>Se modificó a sugerencia de las cámaras</w:t>
      </w:r>
    </w:p>
  </w:comment>
  <w:comment w:id="13" w:author="CEDN" w:date="2019-10-03T12:21:00Z" w:initials="C">
    <w:p w14:paraId="16141898" w14:textId="085ED295" w:rsidR="008A4E2C" w:rsidRDefault="008A4E2C">
      <w:pPr>
        <w:pStyle w:val="Textocomentario"/>
      </w:pPr>
      <w:r>
        <w:rPr>
          <w:rStyle w:val="Refdecomentario"/>
        </w:rPr>
        <w:annotationRef/>
      </w:r>
      <w:r w:rsidR="00003AEA">
        <w:t>Se agregó a sugerencia de las cámaras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38A1475" w15:done="0"/>
  <w15:commentEx w15:paraId="16141898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8E3372"/>
    <w:multiLevelType w:val="multilevel"/>
    <w:tmpl w:val="B186FCE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2369367A"/>
    <w:multiLevelType w:val="multilevel"/>
    <w:tmpl w:val="64C8B7F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4C772EEF"/>
    <w:multiLevelType w:val="multilevel"/>
    <w:tmpl w:val="6A3618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78077E41"/>
    <w:multiLevelType w:val="multilevel"/>
    <w:tmpl w:val="D118366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EDN">
    <w15:presenceInfo w15:providerId="None" w15:userId="CED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221"/>
    <w:rsid w:val="00003AEA"/>
    <w:rsid w:val="00451197"/>
    <w:rsid w:val="00687730"/>
    <w:rsid w:val="006C66D7"/>
    <w:rsid w:val="0082287B"/>
    <w:rsid w:val="00864221"/>
    <w:rsid w:val="008A4E2C"/>
    <w:rsid w:val="00D37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02608C"/>
  <w15:docId w15:val="{DF1B54D8-324B-44B4-9BB5-DF67354EF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4"/>
        <w:szCs w:val="24"/>
        <w:lang w:val="es-MX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1ABD"/>
  </w:style>
  <w:style w:type="paragraph" w:styleId="Ttulo1">
    <w:name w:val="heading 1"/>
    <w:basedOn w:val="Normal"/>
    <w:next w:val="Normal"/>
    <w:link w:val="Ttulo1Car"/>
    <w:uiPriority w:val="9"/>
    <w:qFormat/>
    <w:rsid w:val="00886951"/>
    <w:pPr>
      <w:keepNext/>
      <w:keepLines/>
      <w:numPr>
        <w:numId w:val="4"/>
      </w:numPr>
      <w:spacing w:before="120" w:after="120"/>
      <w:outlineLvl w:val="0"/>
    </w:pPr>
    <w:rPr>
      <w:rFonts w:eastAsiaTheme="majorEastAsia" w:cstheme="majorBidi"/>
      <w:b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D33C5"/>
    <w:pPr>
      <w:keepNext/>
      <w:keepLines/>
      <w:numPr>
        <w:ilvl w:val="1"/>
        <w:numId w:val="4"/>
      </w:numPr>
      <w:spacing w:before="40" w:after="120"/>
      <w:ind w:left="1992"/>
      <w:contextualSpacing/>
      <w:outlineLvl w:val="1"/>
    </w:pPr>
    <w:rPr>
      <w:rFonts w:eastAsiaTheme="majorEastAsia" w:cstheme="majorBidi"/>
      <w:b/>
      <w:caps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D33C5"/>
    <w:pPr>
      <w:keepNext/>
      <w:keepLines/>
      <w:numPr>
        <w:ilvl w:val="2"/>
        <w:numId w:val="4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D33C5"/>
    <w:pPr>
      <w:keepNext/>
      <w:keepLines/>
      <w:numPr>
        <w:ilvl w:val="3"/>
        <w:numId w:val="4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D33C5"/>
    <w:pPr>
      <w:keepNext/>
      <w:keepLines/>
      <w:numPr>
        <w:ilvl w:val="4"/>
        <w:numId w:val="4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D33C5"/>
    <w:pPr>
      <w:keepNext/>
      <w:keepLines/>
      <w:numPr>
        <w:ilvl w:val="5"/>
        <w:numId w:val="4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D33C5"/>
    <w:pPr>
      <w:keepNext/>
      <w:keepLines/>
      <w:numPr>
        <w:ilvl w:val="6"/>
        <w:numId w:val="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D33C5"/>
    <w:pPr>
      <w:keepNext/>
      <w:keepLines/>
      <w:numPr>
        <w:ilvl w:val="7"/>
        <w:numId w:val="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D33C5"/>
    <w:pPr>
      <w:keepNext/>
      <w:keepLines/>
      <w:numPr>
        <w:ilvl w:val="8"/>
        <w:numId w:val="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1Car">
    <w:name w:val="Título 1 Car"/>
    <w:basedOn w:val="Fuentedeprrafopredeter"/>
    <w:link w:val="Ttulo1"/>
    <w:uiPriority w:val="9"/>
    <w:rsid w:val="00886951"/>
    <w:rPr>
      <w:rFonts w:ascii="Arial" w:eastAsiaTheme="majorEastAsia" w:hAnsi="Arial" w:cstheme="majorBidi"/>
      <w:b/>
      <w:sz w:val="24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1D33C5"/>
    <w:rPr>
      <w:rFonts w:ascii="Arial" w:eastAsiaTheme="majorEastAsia" w:hAnsi="Arial" w:cstheme="majorBidi"/>
      <w:b/>
      <w:caps/>
      <w:sz w:val="24"/>
      <w:szCs w:val="26"/>
    </w:rPr>
  </w:style>
  <w:style w:type="paragraph" w:styleId="TtuloTDC">
    <w:name w:val="TOC Heading"/>
    <w:basedOn w:val="Ttulo1"/>
    <w:next w:val="Normal"/>
    <w:uiPriority w:val="39"/>
    <w:unhideWhenUsed/>
    <w:qFormat/>
    <w:rsid w:val="001B6930"/>
    <w:pPr>
      <w:outlineLvl w:val="9"/>
    </w:pPr>
    <w:rPr>
      <w:rFonts w:asciiTheme="majorHAnsi" w:hAnsiTheme="majorHAnsi"/>
      <w:b w:val="0"/>
      <w:color w:val="2E74B5" w:themeColor="accent1" w:themeShade="BF"/>
      <w:sz w:val="32"/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1B6930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1B6930"/>
    <w:pPr>
      <w:spacing w:after="100"/>
      <w:ind w:left="220"/>
    </w:pPr>
  </w:style>
  <w:style w:type="character" w:styleId="Hipervnculo">
    <w:name w:val="Hyperlink"/>
    <w:basedOn w:val="Fuentedeprrafopredeter"/>
    <w:uiPriority w:val="99"/>
    <w:unhideWhenUsed/>
    <w:rsid w:val="001B6930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A02063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uiPriority w:val="9"/>
    <w:semiHidden/>
    <w:rsid w:val="001D33C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D33C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D33C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1D33C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D33C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D33C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D33C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Refdecomentario">
    <w:name w:val="annotation reference"/>
    <w:basedOn w:val="Fuentedeprrafopredeter"/>
    <w:uiPriority w:val="99"/>
    <w:semiHidden/>
    <w:unhideWhenUsed/>
    <w:rsid w:val="008A4E2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A4E2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A4E2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A4E2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A4E2C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A4E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4E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ZZTM3NJc/i7cmR1fF4bEgW+Y3Q==">AMUW2mXTvb4CcNfQqs/eFXsX0hW9yHJh1CbWx6j8mo1FOwz24hoW2PSQxnEqXdeurLtGITSTSaIxTQ3idMfGmuwE5BO+0aGlTyytPRGcKfMJTYTcaGgwHOLedxAuMqovyF0rGbSjBFaqcff0UF/YbhV7VPysv2ucdq7GDtuItNemD4L5S+jM+z9hqVCw6UCNB1K/qn4vUGqGeuXB6EErSHWkTbxUusjgLDPgOSRxD5UToCDEWTh3Tw3GKcdPs1stABBaYjb4ySARncEw0fR4L1n43RFBieplFhfa5UdZTc5ZHAka6lNo6EMyaQWZ1rLud68lYc8WZWJBgQYNXUIUSPn6yZ9K4H9mr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582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Gerardo Lopez Chimil</dc:creator>
  <cp:lastModifiedBy>CEDN</cp:lastModifiedBy>
  <cp:revision>3</cp:revision>
  <dcterms:created xsi:type="dcterms:W3CDTF">2019-10-03T21:59:00Z</dcterms:created>
  <dcterms:modified xsi:type="dcterms:W3CDTF">2019-10-03T22:00:00Z</dcterms:modified>
</cp:coreProperties>
</file>